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5BDF" w14:textId="48557C1B" w:rsidR="00D84EB2" w:rsidRDefault="00D84EB2">
      <w:pPr>
        <w:spacing w:after="120"/>
        <w:jc w:val="center"/>
        <w:rPr>
          <w:rFonts w:ascii="Arial" w:eastAsia="Arial" w:hAnsi="Arial" w:cs="Arial"/>
          <w:color w:val="0D5388"/>
          <w:sz w:val="36"/>
          <w:szCs w:val="36"/>
        </w:rPr>
      </w:pPr>
      <w:r w:rsidRPr="00D84EB2">
        <w:rPr>
          <w:rFonts w:ascii="Arial" w:eastAsia="Arial" w:hAnsi="Arial" w:cs="Arial"/>
          <w:color w:val="0D5388"/>
          <w:sz w:val="36"/>
          <w:szCs w:val="36"/>
        </w:rPr>
        <w:drawing>
          <wp:inline distT="0" distB="0" distL="0" distR="0" wp14:anchorId="1286F420" wp14:editId="5E501AB5">
            <wp:extent cx="1173485" cy="989800"/>
            <wp:effectExtent l="0" t="0" r="7620" b="1270"/>
            <wp:docPr id="781" name="Google Shape;781;p16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Google Shape;781;p16" descr="A picture containing text&#10;&#10;Description automatically generated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173485" cy="9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2" w14:textId="6A4BF149" w:rsidR="00830122" w:rsidRDefault="008142D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of the UN Decade of Ocean Science for Sustainable Development</w:t>
      </w:r>
    </w:p>
    <w:p w14:paraId="7E74660A" w14:textId="2DE96A21" w:rsidR="005A59C6" w:rsidRDefault="005A59C6">
      <w:pPr>
        <w:jc w:val="center"/>
        <w:rPr>
          <w:rFonts w:ascii="Arial" w:eastAsia="Arial" w:hAnsi="Arial" w:cs="Arial"/>
          <w:b/>
          <w:sz w:val="20"/>
          <w:szCs w:val="20"/>
        </w:rPr>
      </w:pPr>
      <w:hyperlink r:id="rId7" w:history="1">
        <w:r w:rsidRPr="00DF03BF">
          <w:rPr>
            <w:rStyle w:val="Hyperlink"/>
            <w:rFonts w:ascii="Arial" w:eastAsia="Arial" w:hAnsi="Arial" w:cs="Arial"/>
            <w:b/>
            <w:sz w:val="20"/>
            <w:szCs w:val="20"/>
          </w:rPr>
          <w:t>https://marinelife2030.org/</w:t>
        </w:r>
      </w:hyperlink>
    </w:p>
    <w:p w14:paraId="00000003" w14:textId="77777777" w:rsidR="00830122" w:rsidRDefault="00830122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830122" w:rsidRDefault="008142D5">
      <w:pPr>
        <w:jc w:val="center"/>
        <w:rPr>
          <w:rFonts w:ascii="Arial" w:eastAsia="Arial" w:hAnsi="Arial" w:cs="Arial"/>
          <w:i/>
          <w:color w:val="0D5388"/>
        </w:rPr>
      </w:pPr>
      <w:r>
        <w:rPr>
          <w:rFonts w:ascii="Arial" w:eastAsia="Arial" w:hAnsi="Arial" w:cs="Arial"/>
          <w:i/>
          <w:color w:val="0D5388"/>
        </w:rPr>
        <w:t>Building global knowledge of marine life for local action in the Ocean Decade</w:t>
      </w:r>
    </w:p>
    <w:p w14:paraId="00000005" w14:textId="77777777" w:rsidR="00830122" w:rsidRDefault="00830122">
      <w:pPr>
        <w:rPr>
          <w:rFonts w:ascii="Times New Roman" w:eastAsia="Times New Roman" w:hAnsi="Times New Roman" w:cs="Times New Roman"/>
        </w:rPr>
      </w:pPr>
    </w:p>
    <w:p w14:paraId="00000006" w14:textId="77777777" w:rsidR="00830122" w:rsidRPr="00D84EB2" w:rsidRDefault="008142D5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D84EB2">
        <w:rPr>
          <w:rFonts w:ascii="Times New Roman" w:eastAsia="Times New Roman" w:hAnsi="Times New Roman" w:cs="Times New Roman"/>
          <w:i/>
          <w:sz w:val="22"/>
          <w:szCs w:val="22"/>
        </w:rPr>
        <w:t>Marine Life 2030 will establish the globally coordinated system to deliver actionable, transdisciplinary knowledge of ocean life to those who need it, promoting human well-being, sustainable development, and ocean conservation. Join us to implement the fra</w:t>
      </w:r>
      <w:r w:rsidRPr="00D84EB2">
        <w:rPr>
          <w:rFonts w:ascii="Times New Roman" w:eastAsia="Times New Roman" w:hAnsi="Times New Roman" w:cs="Times New Roman"/>
          <w:i/>
          <w:sz w:val="22"/>
          <w:szCs w:val="22"/>
        </w:rPr>
        <w:t>mework to unite existing and new programs into a global, interoperable network, transforming the observation and forecasting of marine life for the future for the benefit of all people.</w:t>
      </w:r>
    </w:p>
    <w:p w14:paraId="00000007" w14:textId="77777777" w:rsidR="00830122" w:rsidRPr="00D84EB2" w:rsidRDefault="00830122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08" w14:textId="77777777" w:rsidR="00830122" w:rsidRPr="00D84EB2" w:rsidRDefault="008142D5">
      <w:pPr>
        <w:keepLines/>
        <w:rPr>
          <w:rFonts w:ascii="Times New Roman" w:eastAsia="Times New Roman" w:hAnsi="Times New Roman" w:cs="Times New Roman"/>
          <w:sz w:val="22"/>
          <w:szCs w:val="22"/>
        </w:rPr>
      </w:pPr>
      <w:r w:rsidRPr="00D84EB2">
        <w:rPr>
          <w:rFonts w:ascii="Arial" w:eastAsia="Arial" w:hAnsi="Arial" w:cs="Arial"/>
          <w:b/>
          <w:color w:val="0D5388"/>
          <w:sz w:val="22"/>
          <w:szCs w:val="22"/>
        </w:rPr>
        <w:t>The Need</w:t>
      </w:r>
    </w:p>
    <w:p w14:paraId="00000009" w14:textId="77777777" w:rsidR="00830122" w:rsidRPr="00D84EB2" w:rsidRDefault="008142D5">
      <w:pPr>
        <w:keepLines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D84EB2">
        <w:rPr>
          <w:rFonts w:ascii="Times New Roman" w:eastAsia="Times New Roman" w:hAnsi="Times New Roman" w:cs="Times New Roman"/>
          <w:sz w:val="22"/>
          <w:szCs w:val="22"/>
        </w:rPr>
        <w:t>The ocean we want hosts abundant and diverse life that suppo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>rts humanity’s needs for food, natural products, and good livelihoods. The ocean’s &gt;200,000 species are the engine of ecosystems that provide these benefits. To realize sustainable development we need reliable, accessible information on these species. This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 requires solving three challenges: (1) today, management of marine living resources relies mainly on proxy variables like temperature, salinity, and topography -- generally without measuring biology itself because most marine species and great swaths of t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>he ocean’s ecosystems remain unstudied; (2) existing data on ocean species are inadequately coordinated, undigitized, of varying quality, and largely inaccessible; and (3) marine biodiversity science and observations are poorly linked to users and communit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>ies.</w:t>
      </w:r>
    </w:p>
    <w:p w14:paraId="0000000A" w14:textId="77777777" w:rsidR="00830122" w:rsidRPr="00D84EB2" w:rsidRDefault="0083012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0B" w14:textId="77777777" w:rsidR="00830122" w:rsidRPr="00D84EB2" w:rsidRDefault="008142D5">
      <w:pPr>
        <w:keepLines/>
        <w:rPr>
          <w:rFonts w:ascii="Times New Roman" w:eastAsia="Times New Roman" w:hAnsi="Times New Roman" w:cs="Times New Roman"/>
          <w:sz w:val="22"/>
          <w:szCs w:val="22"/>
        </w:rPr>
      </w:pPr>
      <w:r w:rsidRPr="00D84EB2">
        <w:rPr>
          <w:rFonts w:ascii="Arial" w:eastAsia="Arial" w:hAnsi="Arial" w:cs="Arial"/>
          <w:b/>
          <w:color w:val="0D5388"/>
          <w:sz w:val="22"/>
          <w:szCs w:val="22"/>
        </w:rPr>
        <w:t>The Vision</w:t>
      </w:r>
    </w:p>
    <w:p w14:paraId="0000000C" w14:textId="4B552124" w:rsidR="00830122" w:rsidRPr="00D84EB2" w:rsidRDefault="008142D5">
      <w:pPr>
        <w:rPr>
          <w:rFonts w:ascii="Times New Roman" w:eastAsia="Times New Roman" w:hAnsi="Times New Roman" w:cs="Times New Roman"/>
          <w:sz w:val="22"/>
          <w:szCs w:val="22"/>
        </w:rPr>
      </w:pPr>
      <w:r w:rsidRPr="00D84EB2">
        <w:rPr>
          <w:rFonts w:ascii="Times New Roman" w:eastAsia="Times New Roman" w:hAnsi="Times New Roman" w:cs="Times New Roman"/>
          <w:sz w:val="22"/>
          <w:szCs w:val="22"/>
        </w:rPr>
        <w:t>By 2030 and beyond, anyone, anywhere, will have access to information on marine species and</w:t>
      </w:r>
      <w:r w:rsidR="00CA7AF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>ecosystems important to local fisheries, culture, health, and livelihoods. We will be able to diagnose how species are shifting with climate change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 and management interventions, to achieve a sustainable future for nature and people.</w:t>
      </w:r>
    </w:p>
    <w:p w14:paraId="0000000D" w14:textId="77777777" w:rsidR="00830122" w:rsidRPr="00D84EB2" w:rsidRDefault="0083012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0E" w14:textId="77777777" w:rsidR="00830122" w:rsidRPr="00D84EB2" w:rsidRDefault="008142D5">
      <w:pPr>
        <w:keepLines/>
        <w:rPr>
          <w:rFonts w:ascii="Times New Roman" w:eastAsia="Times New Roman" w:hAnsi="Times New Roman" w:cs="Times New Roman"/>
          <w:sz w:val="22"/>
          <w:szCs w:val="22"/>
        </w:rPr>
      </w:pPr>
      <w:r w:rsidRPr="00D84EB2">
        <w:rPr>
          <w:rFonts w:ascii="Arial" w:eastAsia="Arial" w:hAnsi="Arial" w:cs="Arial"/>
          <w:b/>
          <w:color w:val="0D5388"/>
          <w:sz w:val="22"/>
          <w:szCs w:val="22"/>
        </w:rPr>
        <w:t>The Plan</w:t>
      </w:r>
      <w:r w:rsidRPr="00D84EB2">
        <w:rPr>
          <w:rFonts w:ascii="Times New Roman" w:eastAsia="Times New Roman" w:hAnsi="Times New Roman" w:cs="Times New Roman"/>
          <w:b/>
          <w:color w:val="0D5388"/>
          <w:sz w:val="22"/>
          <w:szCs w:val="22"/>
        </w:rPr>
        <w:t xml:space="preserve"> </w:t>
      </w:r>
    </w:p>
    <w:p w14:paraId="0000000F" w14:textId="77777777" w:rsidR="00830122" w:rsidRPr="00D84EB2" w:rsidRDefault="008142D5">
      <w:pPr>
        <w:rPr>
          <w:rFonts w:ascii="Times New Roman" w:eastAsia="Times New Roman" w:hAnsi="Times New Roman" w:cs="Times New Roman"/>
          <w:sz w:val="22"/>
          <w:szCs w:val="22"/>
        </w:rPr>
      </w:pP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The science we need to achieve the ocean we want requires transformations in technology, in the culture of science, 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and in the scale and nature of coordination. Marine Life 2030 will: (1) work with other Ocean Decade Programs and convene stakeholders around the world to co-design, coordinate and finance sustainable marine life observation and applications; (2) leverage 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>emerging innovation in ‘omics, acoustics, imaging, remote sensing, and artificial intelligence to align biodiversity with other ocean parameters; (3) integrate the critical missing pieces into a global, multi-disciplinary and interoperable ocean observatio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n system; and (4) co-deliver solutions, starting with 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communities that need them the most. </w:t>
      </w:r>
    </w:p>
    <w:p w14:paraId="00000010" w14:textId="77777777" w:rsidR="00830122" w:rsidRPr="00D84EB2" w:rsidRDefault="0083012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11" w14:textId="3BAC6C30" w:rsidR="00830122" w:rsidRPr="00D84EB2" w:rsidRDefault="008142D5">
      <w:pPr>
        <w:rPr>
          <w:rFonts w:ascii="Times New Roman" w:eastAsia="Times New Roman" w:hAnsi="Times New Roman" w:cs="Times New Roman"/>
          <w:sz w:val="22"/>
          <w:szCs w:val="22"/>
        </w:rPr>
      </w:pP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Marine Life 2030 is an open networking program. Core leadership comes from </w:t>
      </w:r>
      <w:r w:rsidR="005A59C6" w:rsidRPr="00D84EB2">
        <w:rPr>
          <w:rFonts w:ascii="Times New Roman" w:eastAsia="Times New Roman" w:hAnsi="Times New Roman" w:cs="Times New Roman"/>
          <w:sz w:val="22"/>
          <w:szCs w:val="22"/>
        </w:rPr>
        <w:t>NOAA</w:t>
      </w:r>
      <w:r w:rsidR="00CA7AF8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US Integrated Ocean Observing System and </w:t>
      </w:r>
      <w:r w:rsidR="005A59C6" w:rsidRPr="00D84EB2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CA7AF8">
        <w:rPr>
          <w:rFonts w:ascii="Times New Roman" w:eastAsia="Times New Roman" w:hAnsi="Times New Roman" w:cs="Times New Roman"/>
          <w:sz w:val="22"/>
          <w:szCs w:val="22"/>
        </w:rPr>
        <w:t xml:space="preserve">global 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Marine Biodiversity Observation Network (MBON), </w:t>
      </w:r>
      <w:r w:rsidR="005A59C6" w:rsidRPr="00D84EB2">
        <w:rPr>
          <w:rFonts w:ascii="Times New Roman" w:eastAsia="Times New Roman" w:hAnsi="Times New Roman" w:cs="Times New Roman"/>
          <w:sz w:val="22"/>
          <w:szCs w:val="22"/>
        </w:rPr>
        <w:t xml:space="preserve">along with the </w:t>
      </w:r>
      <w:r w:rsidR="005A59C6" w:rsidRPr="00D84EB2">
        <w:rPr>
          <w:rFonts w:ascii="Times New Roman" w:eastAsia="Times New Roman" w:hAnsi="Times New Roman" w:cs="Times New Roman"/>
          <w:sz w:val="22"/>
          <w:szCs w:val="22"/>
        </w:rPr>
        <w:t xml:space="preserve">Global Ocean Observing System (GOOS), 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UNEP World Conservation and Monitoring Centre (UNEP-WCMC), Ocean Biodiversity Information System (OBIS), Ocean Best Practices System (OBPS), Group on Earth Observations (GEO), the 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 xml:space="preserve">Future Earth Ocean Knowledge Action Network (Ocean KAN), POGO Biological Observations Working Group; and &gt;60 partners. Marine Life 2030 welcomes new multi-sector collaborators </w:t>
      </w:r>
      <w:r w:rsidRPr="00D84EB2">
        <w:rPr>
          <w:rFonts w:ascii="Times New Roman" w:eastAsia="Times New Roman" w:hAnsi="Times New Roman" w:cs="Times New Roman"/>
          <w:sz w:val="22"/>
          <w:szCs w:val="22"/>
        </w:rPr>
        <w:t>in the Ocean Decade.</w:t>
      </w:r>
    </w:p>
    <w:p w14:paraId="00000012" w14:textId="77777777" w:rsidR="00830122" w:rsidRPr="00D84EB2" w:rsidRDefault="00830122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3" w14:textId="2030DBC4" w:rsidR="00830122" w:rsidRDefault="00370B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IOOS </w:t>
      </w:r>
      <w:r w:rsidR="008142D5" w:rsidRPr="00D84EB2">
        <w:rPr>
          <w:rFonts w:ascii="Times New Roman" w:eastAsia="Times New Roman" w:hAnsi="Times New Roman" w:cs="Times New Roman"/>
          <w:b/>
          <w:sz w:val="22"/>
          <w:szCs w:val="22"/>
        </w:rPr>
        <w:t>Co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ntact and Co-Lead</w:t>
      </w:r>
      <w:bookmarkStart w:id="0" w:name="_GoBack"/>
      <w:bookmarkEnd w:id="0"/>
      <w:r w:rsidR="008142D5" w:rsidRPr="00D84EB2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A59C6" w:rsidRPr="00D84EB2">
        <w:rPr>
          <w:rFonts w:ascii="Times New Roman" w:eastAsia="Times New Roman" w:hAnsi="Times New Roman" w:cs="Times New Roman"/>
          <w:b/>
          <w:sz w:val="22"/>
          <w:szCs w:val="22"/>
        </w:rPr>
        <w:t>Gabrielle Canonico (</w:t>
      </w:r>
      <w:hyperlink r:id="rId8" w:history="1">
        <w:r w:rsidR="005A59C6" w:rsidRPr="00D84EB2">
          <w:rPr>
            <w:rStyle w:val="Hyperlink"/>
            <w:rFonts w:ascii="Times New Roman" w:eastAsia="Times New Roman" w:hAnsi="Times New Roman" w:cs="Times New Roman"/>
            <w:b/>
            <w:sz w:val="22"/>
            <w:szCs w:val="22"/>
          </w:rPr>
          <w:t>gabrielle.canonico@noaa.gov</w:t>
        </w:r>
      </w:hyperlink>
      <w:r w:rsidR="005A59C6" w:rsidRPr="00D84EB2"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sectPr w:rsidR="00830122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080" w:right="1440" w:bottom="117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2C96" w14:textId="77777777" w:rsidR="008142D5" w:rsidRDefault="008142D5">
      <w:r>
        <w:separator/>
      </w:r>
    </w:p>
  </w:endnote>
  <w:endnote w:type="continuationSeparator" w:id="0">
    <w:p w14:paraId="2A69ED2F" w14:textId="77777777" w:rsidR="008142D5" w:rsidRDefault="008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830122" w:rsidRDefault="00814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7" w14:textId="77777777" w:rsidR="00830122" w:rsidRDefault="008301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61AE4AD" w:rsidR="00830122" w:rsidRDefault="00814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A59C6">
      <w:rPr>
        <w:color w:val="000000"/>
      </w:rPr>
      <w:fldChar w:fldCharType="separate"/>
    </w:r>
    <w:r w:rsidR="005A59C6">
      <w:rPr>
        <w:noProof/>
        <w:color w:val="000000"/>
      </w:rPr>
      <w:t>2</w:t>
    </w:r>
    <w:r>
      <w:rPr>
        <w:color w:val="000000"/>
      </w:rPr>
      <w:fldChar w:fldCharType="end"/>
    </w:r>
  </w:p>
  <w:p w14:paraId="00000015" w14:textId="77777777" w:rsidR="00830122" w:rsidRDefault="008301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0DDF" w14:textId="77777777" w:rsidR="008142D5" w:rsidRDefault="008142D5">
      <w:r>
        <w:separator/>
      </w:r>
    </w:p>
  </w:footnote>
  <w:footnote w:type="continuationSeparator" w:id="0">
    <w:p w14:paraId="49E4F2CD" w14:textId="77777777" w:rsidR="008142D5" w:rsidRDefault="0081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4C7274B4" w:rsidR="00830122" w:rsidRDefault="008142D5">
    <w:pPr>
      <w:jc w:val="right"/>
    </w:pPr>
    <w:r>
      <w:fldChar w:fldCharType="begin"/>
    </w:r>
    <w:r>
      <w:instrText>PAGE</w:instrText>
    </w:r>
    <w:r w:rsidR="005A59C6">
      <w:fldChar w:fldCharType="separate"/>
    </w:r>
    <w:r w:rsidR="005A59C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830122" w:rsidRDefault="008301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22"/>
    <w:rsid w:val="00365493"/>
    <w:rsid w:val="00370B4C"/>
    <w:rsid w:val="005A59C6"/>
    <w:rsid w:val="008142D5"/>
    <w:rsid w:val="00830122"/>
    <w:rsid w:val="008724C3"/>
    <w:rsid w:val="00CA7AF8"/>
    <w:rsid w:val="00D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4F02"/>
  <w15:docId w15:val="{5280BFD3-CAEB-49AD-AFD6-C5B9A8DE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59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9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e.canonico@noa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nelife2030.org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Oceanic and Atmospheric Administration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Gabrielle Canonico</cp:lastModifiedBy>
  <cp:revision>7</cp:revision>
  <dcterms:created xsi:type="dcterms:W3CDTF">2021-11-19T16:25:00Z</dcterms:created>
  <dcterms:modified xsi:type="dcterms:W3CDTF">2021-11-19T17:56:00Z</dcterms:modified>
</cp:coreProperties>
</file>